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F30B5" w14:textId="186C894A" w:rsidR="00453795" w:rsidRPr="008F2F85" w:rsidRDefault="00453795" w:rsidP="00453795">
      <w:pPr>
        <w:pStyle w:val="Title"/>
        <w:rPr>
          <w:rFonts w:ascii="Times New Roman" w:hAnsi="Times New Roman" w:cs="Times New Roman"/>
        </w:rPr>
      </w:pPr>
      <w:r w:rsidRPr="008F2F85">
        <w:rPr>
          <w:rFonts w:ascii="Times New Roman" w:hAnsi="Times New Roman" w:cs="Times New Roman"/>
        </w:rPr>
        <w:t>Holistic testing for open-source models</w:t>
      </w:r>
    </w:p>
    <w:p w14:paraId="01F6F66B" w14:textId="682C9ED2" w:rsidR="00502465" w:rsidRPr="008F2F85" w:rsidRDefault="0055585E" w:rsidP="00453795">
      <w:pPr>
        <w:pStyle w:val="Heading1"/>
        <w:rPr>
          <w:rFonts w:ascii="Times New Roman" w:hAnsi="Times New Roman" w:cs="Times New Roman"/>
        </w:rPr>
      </w:pPr>
      <w:r w:rsidRPr="008F2F85">
        <w:rPr>
          <w:rFonts w:ascii="Times New Roman" w:hAnsi="Times New Roman" w:cs="Times New Roman"/>
        </w:rPr>
        <w:t>Overview</w:t>
      </w:r>
    </w:p>
    <w:p w14:paraId="6B724613" w14:textId="25C74C90" w:rsidR="00BA2F9A" w:rsidRDefault="00BF256A" w:rsidP="00BA2F9A">
      <w:pPr>
        <w:pStyle w:val="Fir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502465" w:rsidRPr="00BA2F9A">
        <w:rPr>
          <w:rFonts w:ascii="Times New Roman" w:hAnsi="Times New Roman" w:cs="Times New Roman"/>
        </w:rPr>
        <w:t xml:space="preserve">enchmark leaderboards are often disconnected from production reality. Models </w:t>
      </w:r>
      <w:r w:rsidR="00EF4F18" w:rsidRPr="00BA2F9A">
        <w:rPr>
          <w:rFonts w:ascii="Times New Roman" w:hAnsi="Times New Roman" w:cs="Times New Roman"/>
        </w:rPr>
        <w:t xml:space="preserve">can </w:t>
      </w:r>
      <w:r w:rsidR="00502465" w:rsidRPr="00BA2F9A">
        <w:rPr>
          <w:rFonts w:ascii="Times New Roman" w:hAnsi="Times New Roman" w:cs="Times New Roman"/>
        </w:rPr>
        <w:t xml:space="preserve">dominate standardized benchmarks </w:t>
      </w:r>
      <w:r w:rsidR="00EF4F18" w:rsidRPr="00BA2F9A">
        <w:rPr>
          <w:rFonts w:ascii="Times New Roman" w:hAnsi="Times New Roman" w:cs="Times New Roman"/>
        </w:rPr>
        <w:t xml:space="preserve">and then experience </w:t>
      </w:r>
      <w:r w:rsidR="00502465" w:rsidRPr="00BA2F9A">
        <w:rPr>
          <w:rFonts w:ascii="Times New Roman" w:hAnsi="Times New Roman" w:cs="Times New Roman"/>
        </w:rPr>
        <w:t>significant</w:t>
      </w:r>
      <w:r w:rsidR="004D3308" w:rsidRPr="00BA2F9A">
        <w:rPr>
          <w:rFonts w:ascii="Times New Roman" w:hAnsi="Times New Roman" w:cs="Times New Roman"/>
        </w:rPr>
        <w:t xml:space="preserve">ly poorer performance </w:t>
      </w:r>
      <w:r w:rsidR="00502465" w:rsidRPr="00BA2F9A">
        <w:rPr>
          <w:rFonts w:ascii="Times New Roman" w:hAnsi="Times New Roman" w:cs="Times New Roman"/>
        </w:rPr>
        <w:t xml:space="preserve">when deployed against </w:t>
      </w:r>
      <w:r w:rsidR="004D3308" w:rsidRPr="00BA2F9A">
        <w:rPr>
          <w:rFonts w:ascii="Times New Roman" w:hAnsi="Times New Roman" w:cs="Times New Roman"/>
        </w:rPr>
        <w:t>real world</w:t>
      </w:r>
      <w:r w:rsidR="00502465" w:rsidRPr="00BA2F9A">
        <w:rPr>
          <w:rFonts w:ascii="Times New Roman" w:hAnsi="Times New Roman" w:cs="Times New Roman"/>
        </w:rPr>
        <w:t xml:space="preserve"> data. </w:t>
      </w:r>
      <w:r w:rsidR="00596048" w:rsidRPr="00BA2F9A">
        <w:rPr>
          <w:rFonts w:ascii="Times New Roman" w:hAnsi="Times New Roman" w:cs="Times New Roman"/>
        </w:rPr>
        <w:t xml:space="preserve">This is particularly shown in recent </w:t>
      </w:r>
      <w:hyperlink r:id="rId5" w:history="1">
        <w:r w:rsidR="00596048" w:rsidRPr="00BA2F9A">
          <w:rPr>
            <w:rStyle w:val="Hyperlink"/>
            <w:rFonts w:ascii="Times New Roman" w:hAnsi="Times New Roman" w:cs="Times New Roman"/>
          </w:rPr>
          <w:t>r</w:t>
        </w:r>
        <w:r w:rsidR="00453795" w:rsidRPr="00BA2F9A">
          <w:rPr>
            <w:rStyle w:val="Hyperlink"/>
            <w:rFonts w:ascii="Times New Roman" w:hAnsi="Times New Roman" w:cs="Times New Roman"/>
          </w:rPr>
          <w:t xml:space="preserve">esearch on GSM8k </w:t>
        </w:r>
        <w:r w:rsidR="00596048" w:rsidRPr="00BA2F9A">
          <w:rPr>
            <w:rStyle w:val="Hyperlink"/>
            <w:rFonts w:ascii="Times New Roman" w:hAnsi="Times New Roman" w:cs="Times New Roman"/>
          </w:rPr>
          <w:t>m</w:t>
        </w:r>
        <w:r w:rsidR="00453795" w:rsidRPr="00BA2F9A">
          <w:rPr>
            <w:rStyle w:val="Hyperlink"/>
            <w:rFonts w:ascii="Times New Roman" w:hAnsi="Times New Roman" w:cs="Times New Roman"/>
          </w:rPr>
          <w:t>ath problems.</w:t>
        </w:r>
      </w:hyperlink>
      <w:r w:rsidR="00BA2F9A" w:rsidRPr="00BA2F9A">
        <w:rPr>
          <w:rFonts w:ascii="Times New Roman" w:hAnsi="Times New Roman" w:cs="Times New Roman"/>
        </w:rPr>
        <w:t xml:space="preserve"> </w:t>
      </w:r>
    </w:p>
    <w:p w14:paraId="285B4D9B" w14:textId="77777777" w:rsidR="00BF256A" w:rsidRDefault="00BF256A" w:rsidP="00014CDC">
      <w:pPr>
        <w:pStyle w:val="Fir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makes our own testing of </w:t>
      </w:r>
      <w:proofErr w:type="gramStart"/>
      <w:r>
        <w:rPr>
          <w:rFonts w:ascii="Times New Roman" w:hAnsi="Times New Roman" w:cs="Times New Roman"/>
        </w:rPr>
        <w:t>open source</w:t>
      </w:r>
      <w:proofErr w:type="gramEnd"/>
      <w:r>
        <w:rPr>
          <w:rFonts w:ascii="Times New Roman" w:hAnsi="Times New Roman" w:cs="Times New Roman"/>
        </w:rPr>
        <w:t xml:space="preserve"> models for our specific use cases vital. </w:t>
      </w:r>
    </w:p>
    <w:p w14:paraId="5E688999" w14:textId="15B6FED7" w:rsidR="00502465" w:rsidRPr="00BA2F9A" w:rsidRDefault="005736AB" w:rsidP="00014CDC">
      <w:pPr>
        <w:pStyle w:val="Fir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2112AE">
        <w:rPr>
          <w:rFonts w:ascii="Times New Roman" w:hAnsi="Times New Roman" w:cs="Times New Roman"/>
        </w:rPr>
        <w:t>he</w:t>
      </w:r>
      <w:r w:rsidR="00EF4F18" w:rsidRPr="00BA2F9A">
        <w:rPr>
          <w:rFonts w:ascii="Times New Roman" w:hAnsi="Times New Roman" w:cs="Times New Roman"/>
        </w:rPr>
        <w:t xml:space="preserve"> top 3 factors for evaluating </w:t>
      </w:r>
      <w:proofErr w:type="gramStart"/>
      <w:r w:rsidR="00EF4F18" w:rsidRPr="00BA2F9A">
        <w:rPr>
          <w:rFonts w:ascii="Times New Roman" w:hAnsi="Times New Roman" w:cs="Times New Roman"/>
        </w:rPr>
        <w:t>open source</w:t>
      </w:r>
      <w:proofErr w:type="gramEnd"/>
      <w:r w:rsidR="00EF4F18" w:rsidRPr="00BA2F9A">
        <w:rPr>
          <w:rFonts w:ascii="Times New Roman" w:hAnsi="Times New Roman" w:cs="Times New Roman"/>
        </w:rPr>
        <w:t xml:space="preserve"> models for our chat and agentic services </w:t>
      </w:r>
      <w:r w:rsidR="002E0E0A" w:rsidRPr="00BA2F9A">
        <w:rPr>
          <w:rFonts w:ascii="Times New Roman" w:hAnsi="Times New Roman" w:cs="Times New Roman"/>
        </w:rPr>
        <w:t>include:</w:t>
      </w:r>
    </w:p>
    <w:p w14:paraId="3AC63EE5" w14:textId="5235AAB7" w:rsidR="00502465" w:rsidRPr="008F2F85" w:rsidRDefault="00A33B4B" w:rsidP="0060484B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8F2F85">
        <w:rPr>
          <w:rFonts w:ascii="Times New Roman" w:hAnsi="Times New Roman" w:cs="Times New Roman"/>
          <w:b/>
          <w:bCs/>
        </w:rPr>
        <w:t>Inference l</w:t>
      </w:r>
      <w:r w:rsidR="00502465" w:rsidRPr="008F2F85">
        <w:rPr>
          <w:rFonts w:ascii="Times New Roman" w:hAnsi="Times New Roman" w:cs="Times New Roman"/>
          <w:b/>
          <w:bCs/>
        </w:rPr>
        <w:t xml:space="preserve">atency and </w:t>
      </w:r>
      <w:r w:rsidRPr="008F2F85">
        <w:rPr>
          <w:rFonts w:ascii="Times New Roman" w:hAnsi="Times New Roman" w:cs="Times New Roman"/>
          <w:b/>
          <w:bCs/>
        </w:rPr>
        <w:t xml:space="preserve">throughput </w:t>
      </w:r>
      <w:r w:rsidR="00502465" w:rsidRPr="008F2F85">
        <w:rPr>
          <w:rFonts w:ascii="Times New Roman" w:hAnsi="Times New Roman" w:cs="Times New Roman"/>
          <w:b/>
          <w:bCs/>
        </w:rPr>
        <w:t>under load</w:t>
      </w:r>
      <w:r w:rsidR="002E0E0A">
        <w:rPr>
          <w:rFonts w:ascii="Times New Roman" w:hAnsi="Times New Roman" w:cs="Times New Roman"/>
        </w:rPr>
        <w:t>:</w:t>
      </w:r>
      <w:r w:rsidR="0060484B" w:rsidRPr="008F2F85">
        <w:rPr>
          <w:rFonts w:ascii="Times New Roman" w:hAnsi="Times New Roman" w:cs="Times New Roman"/>
        </w:rPr>
        <w:t xml:space="preserve"> For interactive chat, latency directly determines user experience. </w:t>
      </w:r>
      <w:r w:rsidRPr="008F2F85">
        <w:rPr>
          <w:rFonts w:ascii="Times New Roman" w:hAnsi="Times New Roman" w:cs="Times New Roman"/>
        </w:rPr>
        <w:t>Producing</w:t>
      </w:r>
      <w:r w:rsidR="0060484B" w:rsidRPr="008F2F85">
        <w:rPr>
          <w:rFonts w:ascii="Times New Roman" w:hAnsi="Times New Roman" w:cs="Times New Roman"/>
        </w:rPr>
        <w:t xml:space="preserve"> high-quality outputs at 5+ seconds per response creates </w:t>
      </w:r>
      <w:r w:rsidR="00453795" w:rsidRPr="008F2F85">
        <w:rPr>
          <w:rFonts w:ascii="Times New Roman" w:hAnsi="Times New Roman" w:cs="Times New Roman"/>
        </w:rPr>
        <w:t xml:space="preserve">an </w:t>
      </w:r>
      <w:r w:rsidR="0060484B" w:rsidRPr="008F2F85">
        <w:rPr>
          <w:rFonts w:ascii="Times New Roman" w:hAnsi="Times New Roman" w:cs="Times New Roman"/>
        </w:rPr>
        <w:t>unacceptable user experience. For agentic workflows, inefficient tool-calling patterns create cascading latency and cost impacts</w:t>
      </w:r>
      <w:r w:rsidRPr="008F2F85">
        <w:rPr>
          <w:rFonts w:ascii="Times New Roman" w:hAnsi="Times New Roman" w:cs="Times New Roman"/>
        </w:rPr>
        <w:t xml:space="preserve"> that</w:t>
      </w:r>
      <w:r w:rsidR="0060484B" w:rsidRPr="008F2F85">
        <w:rPr>
          <w:rFonts w:ascii="Times New Roman" w:hAnsi="Times New Roman" w:cs="Times New Roman"/>
        </w:rPr>
        <w:t xml:space="preserve"> compound across multi-step tasks.</w:t>
      </w:r>
    </w:p>
    <w:p w14:paraId="79716EB7" w14:textId="133EAEC1" w:rsidR="00A33B4B" w:rsidRPr="008F2F85" w:rsidRDefault="00A33B4B" w:rsidP="0060484B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8F2F85">
        <w:rPr>
          <w:rFonts w:ascii="Times New Roman" w:hAnsi="Times New Roman" w:cs="Times New Roman"/>
          <w:b/>
          <w:bCs/>
        </w:rPr>
        <w:t>Task specific accuracy</w:t>
      </w:r>
      <w:r w:rsidR="002E0E0A">
        <w:rPr>
          <w:rFonts w:ascii="Times New Roman" w:hAnsi="Times New Roman" w:cs="Times New Roman"/>
        </w:rPr>
        <w:t xml:space="preserve">: </w:t>
      </w:r>
      <w:r w:rsidRPr="008F2F85">
        <w:rPr>
          <w:rFonts w:ascii="Times New Roman" w:hAnsi="Times New Roman" w:cs="Times New Roman"/>
        </w:rPr>
        <w:t>A model scoring 85% on MMLU may score 60% on your domain-specific tasks.</w:t>
      </w:r>
      <w:r w:rsidR="00F2598A" w:rsidRPr="008F2F85">
        <w:rPr>
          <w:rFonts w:ascii="Times New Roman" w:hAnsi="Times New Roman" w:cs="Times New Roman"/>
        </w:rPr>
        <w:t xml:space="preserve"> </w:t>
      </w:r>
    </w:p>
    <w:p w14:paraId="3F1E9851" w14:textId="681358C7" w:rsidR="00CC45C5" w:rsidRPr="008F2F85" w:rsidRDefault="00A33B4B" w:rsidP="00A33B4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</w:rPr>
      </w:pPr>
      <w:r w:rsidRPr="00A33B4B">
        <w:rPr>
          <w:rFonts w:ascii="Times New Roman" w:hAnsi="Times New Roman" w:cs="Times New Roman"/>
          <w:b/>
          <w:bCs/>
        </w:rPr>
        <w:t>Failure Mode Distribution</w:t>
      </w:r>
      <w:r w:rsidR="002E0E0A">
        <w:rPr>
          <w:rFonts w:ascii="Times New Roman" w:hAnsi="Times New Roman" w:cs="Times New Roman"/>
          <w:b/>
          <w:bCs/>
        </w:rPr>
        <w:t xml:space="preserve">: </w:t>
      </w:r>
      <w:r w:rsidRPr="008F2F85">
        <w:rPr>
          <w:rFonts w:ascii="Times New Roman" w:hAnsi="Times New Roman" w:cs="Times New Roman"/>
        </w:rPr>
        <w:t xml:space="preserve">Models </w:t>
      </w:r>
      <w:r w:rsidR="0060484B" w:rsidRPr="008F2F85">
        <w:rPr>
          <w:rFonts w:ascii="Times New Roman" w:hAnsi="Times New Roman" w:cs="Times New Roman"/>
        </w:rPr>
        <w:t xml:space="preserve">with similar average performance can differ dramatically in </w:t>
      </w:r>
      <w:r w:rsidR="00596048" w:rsidRPr="008F2F85">
        <w:rPr>
          <w:rFonts w:ascii="Times New Roman" w:hAnsi="Times New Roman" w:cs="Times New Roman"/>
        </w:rPr>
        <w:t>the impact of their failures</w:t>
      </w:r>
      <w:r w:rsidR="0060484B" w:rsidRPr="008F2F85">
        <w:rPr>
          <w:rFonts w:ascii="Times New Roman" w:hAnsi="Times New Roman" w:cs="Times New Roman"/>
        </w:rPr>
        <w:t xml:space="preserve">. A model that occasionally hallucinates citations might be acceptable for brainstorming but catastrophic for customer-facing factual queries. Understanding the </w:t>
      </w:r>
      <w:r w:rsidR="0060484B" w:rsidRPr="008F2F85">
        <w:rPr>
          <w:rFonts w:ascii="Times New Roman" w:hAnsi="Times New Roman" w:cs="Times New Roman"/>
          <w:i/>
          <w:iCs/>
        </w:rPr>
        <w:t>distribution</w:t>
      </w:r>
      <w:r w:rsidR="0060484B" w:rsidRPr="008F2F85">
        <w:rPr>
          <w:rFonts w:ascii="Times New Roman" w:hAnsi="Times New Roman" w:cs="Times New Roman"/>
        </w:rPr>
        <w:t xml:space="preserve"> of failures—not just average performance—is critical</w:t>
      </w:r>
      <w:r w:rsidR="00AA5854" w:rsidRPr="008F2F85">
        <w:rPr>
          <w:rFonts w:ascii="Times New Roman" w:hAnsi="Times New Roman" w:cs="Times New Roman"/>
        </w:rPr>
        <w:t>.</w:t>
      </w:r>
    </w:p>
    <w:p w14:paraId="3B9F00B7" w14:textId="5DEB4EA3" w:rsidR="00CC45C5" w:rsidRPr="008F2F85" w:rsidRDefault="00CC45C5" w:rsidP="00CC45C5"/>
    <w:p w14:paraId="20C24364" w14:textId="70166744" w:rsidR="00FD67D4" w:rsidRDefault="00453795" w:rsidP="002F7580">
      <w:r w:rsidRPr="008F2F85">
        <w:t>To test</w:t>
      </w:r>
      <w:r w:rsidR="00E3796D" w:rsidRPr="008F2F85">
        <w:t xml:space="preserve"> open-source models</w:t>
      </w:r>
      <w:r w:rsidR="00EF4F18">
        <w:t xml:space="preserve"> for these factors</w:t>
      </w:r>
      <w:r w:rsidRPr="008F2F85">
        <w:t xml:space="preserve">, </w:t>
      </w:r>
      <w:r w:rsidR="00E3796D" w:rsidRPr="008F2F85">
        <w:t xml:space="preserve">we </w:t>
      </w:r>
      <w:r w:rsidR="00A10C8B">
        <w:t>need</w:t>
      </w:r>
      <w:r w:rsidR="00CC45C5" w:rsidRPr="008F2F85">
        <w:t xml:space="preserve"> a holistic review process</w:t>
      </w:r>
      <w:r w:rsidR="002F7580" w:rsidRPr="008F2F85">
        <w:t>.</w:t>
      </w:r>
      <w:r w:rsidRPr="008F2F85">
        <w:t xml:space="preserve"> One that</w:t>
      </w:r>
      <w:r w:rsidR="002F7580" w:rsidRPr="008F2F85">
        <w:t xml:space="preserve"> extend</w:t>
      </w:r>
      <w:r w:rsidRPr="008F2F85">
        <w:t xml:space="preserve">s </w:t>
      </w:r>
      <w:r w:rsidR="002F7580" w:rsidRPr="008F2F85">
        <w:t xml:space="preserve">beyond superficial benchmark scores to encompass performance, scalability, efficiency, transparency, risk assessment, and operational characteristics. </w:t>
      </w:r>
    </w:p>
    <w:p w14:paraId="35E36873" w14:textId="38034261" w:rsidR="00FD67D4" w:rsidRPr="00FD67D4" w:rsidRDefault="00FD67D4" w:rsidP="00FD67D4">
      <w:pPr>
        <w:pStyle w:val="Heading1"/>
        <w:rPr>
          <w:rFonts w:ascii="Times New Roman" w:hAnsi="Times New Roman" w:cs="Times New Roman"/>
        </w:rPr>
      </w:pPr>
      <w:r w:rsidRPr="008F2F85">
        <w:rPr>
          <w:rFonts w:ascii="Times New Roman" w:hAnsi="Times New Roman" w:cs="Times New Roman"/>
        </w:rPr>
        <w:t>Holistic review process</w:t>
      </w:r>
    </w:p>
    <w:p w14:paraId="73A70A6E" w14:textId="609DDB25" w:rsidR="00D95179" w:rsidRPr="008F2F85" w:rsidRDefault="00CC45C5" w:rsidP="00CC45C5">
      <w:r w:rsidRPr="008F2F85">
        <w:t xml:space="preserve"> </w:t>
      </w:r>
    </w:p>
    <w:p w14:paraId="0D459CD3" w14:textId="20EDC2F7" w:rsidR="00014CDC" w:rsidRPr="00D95179" w:rsidRDefault="00D95179" w:rsidP="00894B36">
      <w:r w:rsidRPr="008F2F85">
        <w:t xml:space="preserve">In specifics, we </w:t>
      </w:r>
      <w:r w:rsidR="00234D33" w:rsidRPr="008F2F85">
        <w:t>must</w:t>
      </w:r>
      <w:r w:rsidRPr="008F2F85">
        <w:t>:</w:t>
      </w:r>
      <w:r w:rsidR="00D953ED" w:rsidRPr="008F2F85">
        <w:br/>
      </w:r>
    </w:p>
    <w:p w14:paraId="4DCEB013" w14:textId="0190FBD8" w:rsidR="00014CDC" w:rsidRPr="00D95179" w:rsidRDefault="00AA5854" w:rsidP="00234D33">
      <w:pPr>
        <w:numPr>
          <w:ilvl w:val="0"/>
          <w:numId w:val="9"/>
        </w:numPr>
      </w:pPr>
      <w:r w:rsidRPr="008F2F85">
        <w:rPr>
          <w:b/>
          <w:bCs/>
        </w:rPr>
        <w:t>E</w:t>
      </w:r>
      <w:r w:rsidR="00014CDC" w:rsidRPr="008F2F85">
        <w:rPr>
          <w:b/>
          <w:bCs/>
        </w:rPr>
        <w:t>valuate a</w:t>
      </w:r>
      <w:r w:rsidR="00014CDC" w:rsidRPr="00D95179">
        <w:rPr>
          <w:b/>
          <w:bCs/>
        </w:rPr>
        <w:t xml:space="preserve">gentic workflows </w:t>
      </w:r>
      <w:r w:rsidR="00014CDC" w:rsidRPr="008F2F85">
        <w:rPr>
          <w:b/>
          <w:bCs/>
        </w:rPr>
        <w:t xml:space="preserve">at </w:t>
      </w:r>
      <w:r w:rsidR="00234D33" w:rsidRPr="008F2F85">
        <w:rPr>
          <w:b/>
          <w:bCs/>
        </w:rPr>
        <w:t xml:space="preserve">the </w:t>
      </w:r>
      <w:r w:rsidR="00014CDC" w:rsidRPr="008F2F85">
        <w:rPr>
          <w:b/>
          <w:bCs/>
        </w:rPr>
        <w:t>transcript level</w:t>
      </w:r>
      <w:r w:rsidR="00014CDC" w:rsidRPr="00D95179">
        <w:rPr>
          <w:b/>
          <w:bCs/>
        </w:rPr>
        <w:t>.</w:t>
      </w:r>
      <w:r w:rsidR="00014CDC" w:rsidRPr="00D95179">
        <w:t xml:space="preserve"> </w:t>
      </w:r>
      <w:r w:rsidRPr="008F2F85">
        <w:t xml:space="preserve">For inference latency and throughput under load, we must examine full interactions. </w:t>
      </w:r>
      <w:r w:rsidR="00014CDC" w:rsidRPr="00D95179">
        <w:t>Task success alone misses inefficient tool-calling, poor error recovery, and instruction drift.</w:t>
      </w:r>
      <w:r w:rsidR="00894B36" w:rsidRPr="008F2F85">
        <w:br/>
      </w:r>
      <w:r w:rsidR="00894B36" w:rsidRPr="008F2F85">
        <w:br/>
        <w:t xml:space="preserve">Suggest: Measure TTFT and TPS at P50/P95 using </w:t>
      </w:r>
      <w:proofErr w:type="spellStart"/>
      <w:r w:rsidR="00894B36" w:rsidRPr="008F2F85">
        <w:t>vLLM</w:t>
      </w:r>
      <w:proofErr w:type="spellEnd"/>
      <w:r w:rsidR="00894B36" w:rsidRPr="008F2F85">
        <w:t xml:space="preserve"> benchmarks under 50/100/200 concurrent requests. Target: TTFT &lt;</w:t>
      </w:r>
      <w:r w:rsidR="00495354">
        <w:t>5</w:t>
      </w:r>
      <w:r w:rsidR="00894B36" w:rsidRPr="008F2F85">
        <w:t>00ms at P95.</w:t>
      </w:r>
      <w:r w:rsidR="00D953ED" w:rsidRPr="008F2F85">
        <w:br/>
      </w:r>
    </w:p>
    <w:p w14:paraId="514C78E5" w14:textId="77777777" w:rsidR="002740A6" w:rsidRPr="008F2F85" w:rsidRDefault="002740A6" w:rsidP="0020309F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8F2F85">
        <w:rPr>
          <w:rFonts w:ascii="Times New Roman" w:hAnsi="Times New Roman" w:cs="Times New Roman"/>
          <w:b/>
          <w:bCs/>
        </w:rPr>
        <w:t>For task specific accuracy</w:t>
      </w:r>
      <w:r w:rsidRPr="008F2F85">
        <w:rPr>
          <w:rFonts w:ascii="Times New Roman" w:hAnsi="Times New Roman" w:cs="Times New Roman"/>
        </w:rPr>
        <w:t xml:space="preserve"> we must:</w:t>
      </w:r>
    </w:p>
    <w:p w14:paraId="0CC28217" w14:textId="2E2DADE0" w:rsidR="00D95179" w:rsidRPr="008F2F85" w:rsidRDefault="0020309F" w:rsidP="00894B36">
      <w:pPr>
        <w:pStyle w:val="ListParagraph"/>
        <w:numPr>
          <w:ilvl w:val="1"/>
          <w:numId w:val="9"/>
        </w:numPr>
        <w:rPr>
          <w:rFonts w:ascii="Times New Roman" w:hAnsi="Times New Roman" w:cs="Times New Roman"/>
        </w:rPr>
      </w:pPr>
      <w:r w:rsidRPr="008F2F85">
        <w:rPr>
          <w:rFonts w:ascii="Times New Roman" w:hAnsi="Times New Roman" w:cs="Times New Roman"/>
          <w:b/>
          <w:bCs/>
        </w:rPr>
        <w:t xml:space="preserve">Create </w:t>
      </w:r>
      <w:r w:rsidR="00D95179" w:rsidRPr="008F2F85">
        <w:rPr>
          <w:rFonts w:ascii="Times New Roman" w:hAnsi="Times New Roman" w:cs="Times New Roman"/>
          <w:b/>
          <w:bCs/>
        </w:rPr>
        <w:t xml:space="preserve">production-representative </w:t>
      </w:r>
      <w:r w:rsidRPr="008F2F85">
        <w:rPr>
          <w:rFonts w:ascii="Times New Roman" w:hAnsi="Times New Roman" w:cs="Times New Roman"/>
          <w:b/>
          <w:bCs/>
        </w:rPr>
        <w:t>test</w:t>
      </w:r>
      <w:r w:rsidR="00D95179" w:rsidRPr="008F2F85">
        <w:rPr>
          <w:rFonts w:ascii="Times New Roman" w:hAnsi="Times New Roman" w:cs="Times New Roman"/>
          <w:b/>
          <w:bCs/>
        </w:rPr>
        <w:t xml:space="preserve"> data</w:t>
      </w:r>
      <w:r w:rsidRPr="008F2F85">
        <w:rPr>
          <w:rFonts w:ascii="Times New Roman" w:hAnsi="Times New Roman" w:cs="Times New Roman"/>
          <w:b/>
          <w:bCs/>
        </w:rPr>
        <w:t>.</w:t>
      </w:r>
      <w:r w:rsidR="00D95179" w:rsidRPr="008F2F85">
        <w:rPr>
          <w:rFonts w:ascii="Times New Roman" w:hAnsi="Times New Roman" w:cs="Times New Roman"/>
          <w:b/>
          <w:bCs/>
        </w:rPr>
        <w:t xml:space="preserve"> </w:t>
      </w:r>
      <w:r w:rsidRPr="008F2F85">
        <w:rPr>
          <w:rFonts w:ascii="Times New Roman" w:hAnsi="Times New Roman" w:cs="Times New Roman"/>
        </w:rPr>
        <w:t xml:space="preserve">We must use representative data </w:t>
      </w:r>
      <w:r w:rsidR="00EF4F18">
        <w:rPr>
          <w:rFonts w:ascii="Times New Roman" w:hAnsi="Times New Roman" w:cs="Times New Roman"/>
        </w:rPr>
        <w:t>that the</w:t>
      </w:r>
      <w:r w:rsidRPr="008F2F85">
        <w:rPr>
          <w:rFonts w:ascii="Times New Roman" w:hAnsi="Times New Roman" w:cs="Times New Roman"/>
        </w:rPr>
        <w:t xml:space="preserve"> </w:t>
      </w:r>
      <w:r w:rsidR="00D95179" w:rsidRPr="008F2F85">
        <w:rPr>
          <w:rFonts w:ascii="Times New Roman" w:hAnsi="Times New Roman" w:cs="Times New Roman"/>
        </w:rPr>
        <w:t xml:space="preserve">models </w:t>
      </w:r>
      <w:r w:rsidR="00A10C8B">
        <w:rPr>
          <w:rFonts w:ascii="Times New Roman" w:hAnsi="Times New Roman" w:cs="Times New Roman"/>
        </w:rPr>
        <w:t>did not see</w:t>
      </w:r>
      <w:r w:rsidR="00D95179" w:rsidRPr="008F2F85">
        <w:rPr>
          <w:rFonts w:ascii="Times New Roman" w:hAnsi="Times New Roman" w:cs="Times New Roman"/>
        </w:rPr>
        <w:t xml:space="preserve"> </w:t>
      </w:r>
      <w:r w:rsidR="00EF4F18">
        <w:rPr>
          <w:rFonts w:ascii="Times New Roman" w:hAnsi="Times New Roman" w:cs="Times New Roman"/>
        </w:rPr>
        <w:t>in</w:t>
      </w:r>
      <w:r w:rsidR="00A10C8B">
        <w:rPr>
          <w:rFonts w:ascii="Times New Roman" w:hAnsi="Times New Roman" w:cs="Times New Roman"/>
        </w:rPr>
        <w:t xml:space="preserve"> </w:t>
      </w:r>
      <w:r w:rsidR="00D95179" w:rsidRPr="008F2F85">
        <w:rPr>
          <w:rFonts w:ascii="Times New Roman" w:hAnsi="Times New Roman" w:cs="Times New Roman"/>
        </w:rPr>
        <w:t>training.</w:t>
      </w:r>
      <w:r w:rsidRPr="008F2F85">
        <w:rPr>
          <w:rFonts w:ascii="Times New Roman" w:hAnsi="Times New Roman" w:cs="Times New Roman"/>
        </w:rPr>
        <w:t xml:space="preserve"> This data must match </w:t>
      </w:r>
      <w:r w:rsidR="00EF4F18">
        <w:rPr>
          <w:rFonts w:ascii="Times New Roman" w:hAnsi="Times New Roman" w:cs="Times New Roman"/>
        </w:rPr>
        <w:t xml:space="preserve">our </w:t>
      </w:r>
      <w:r w:rsidRPr="008F2F85">
        <w:rPr>
          <w:rFonts w:ascii="Times New Roman" w:hAnsi="Times New Roman" w:cs="Times New Roman"/>
        </w:rPr>
        <w:t>real-world production data</w:t>
      </w:r>
      <w:r w:rsidR="00F855FE" w:rsidRPr="008F2F85">
        <w:rPr>
          <w:rFonts w:ascii="Times New Roman" w:hAnsi="Times New Roman" w:cs="Times New Roman"/>
        </w:rPr>
        <w:t xml:space="preserve">, with </w:t>
      </w:r>
      <w:r w:rsidRPr="008F2F85">
        <w:rPr>
          <w:rFonts w:ascii="Times New Roman" w:hAnsi="Times New Roman" w:cs="Times New Roman"/>
        </w:rPr>
        <w:t>representative examples across all categories.</w:t>
      </w:r>
    </w:p>
    <w:p w14:paraId="53E3634E" w14:textId="77777777" w:rsidR="00894B36" w:rsidRPr="008F2F85" w:rsidRDefault="0020309F" w:rsidP="002740A6">
      <w:pPr>
        <w:numPr>
          <w:ilvl w:val="1"/>
          <w:numId w:val="9"/>
        </w:numPr>
      </w:pPr>
      <w:r w:rsidRPr="00D95179">
        <w:rPr>
          <w:b/>
          <w:bCs/>
        </w:rPr>
        <w:t>Measure at deployment configuration.</w:t>
      </w:r>
      <w:r w:rsidRPr="00D95179">
        <w:t xml:space="preserve"> Test at target quantization, hardware, and load levels—not idealized conditions.</w:t>
      </w:r>
      <w:r w:rsidR="00D953ED" w:rsidRPr="008F2F85">
        <w:br/>
      </w:r>
    </w:p>
    <w:p w14:paraId="60290C46" w14:textId="580A326D" w:rsidR="0020309F" w:rsidRPr="008F2F85" w:rsidRDefault="00D953ED" w:rsidP="00C82542">
      <w:pPr>
        <w:ind w:left="720"/>
      </w:pPr>
      <w:r w:rsidRPr="008F2F85">
        <w:lastRenderedPageBreak/>
        <w:t xml:space="preserve">Suggest: Build held-out test set of 500+ examples across query categories. Measure exact-match, semantic similarity, and format compliance. Compare against </w:t>
      </w:r>
      <w:r w:rsidR="001E7690">
        <w:t xml:space="preserve">the current </w:t>
      </w:r>
      <w:r w:rsidRPr="008F2F85">
        <w:t>baseline model</w:t>
      </w:r>
      <w:r w:rsidR="001E7690">
        <w:t xml:space="preserve"> in a duplicate of the production system under load.</w:t>
      </w:r>
      <w:r w:rsidR="00894B36" w:rsidRPr="008F2F85">
        <w:br/>
      </w:r>
    </w:p>
    <w:p w14:paraId="6AB77D4A" w14:textId="173F7B8D" w:rsidR="00D953ED" w:rsidRPr="008F2F85" w:rsidRDefault="00894B36" w:rsidP="005E1CB8">
      <w:pPr>
        <w:numPr>
          <w:ilvl w:val="0"/>
          <w:numId w:val="9"/>
        </w:numPr>
      </w:pPr>
      <w:r w:rsidRPr="008F2F85">
        <w:rPr>
          <w:b/>
          <w:bCs/>
        </w:rPr>
        <w:t>C</w:t>
      </w:r>
      <w:r w:rsidRPr="00D95179">
        <w:rPr>
          <w:b/>
          <w:bCs/>
        </w:rPr>
        <w:t>haracterize failures, not just averages.</w:t>
      </w:r>
      <w:r w:rsidRPr="00D95179">
        <w:t xml:space="preserve"> </w:t>
      </w:r>
      <w:r w:rsidRPr="008F2F85">
        <w:t xml:space="preserve">To properly evaluate failure mode </w:t>
      </w:r>
      <w:proofErr w:type="gramStart"/>
      <w:r w:rsidRPr="008F2F85">
        <w:t>distribution</w:t>
      </w:r>
      <w:proofErr w:type="gramEnd"/>
      <w:r w:rsidRPr="008F2F85">
        <w:t xml:space="preserve"> we must understand which</w:t>
      </w:r>
      <w:r w:rsidRPr="00D95179">
        <w:t xml:space="preserve"> failures </w:t>
      </w:r>
      <w:r w:rsidRPr="008F2F85">
        <w:t xml:space="preserve">are occurring, and how much our service can </w:t>
      </w:r>
      <w:r w:rsidRPr="00D95179">
        <w:t>tolerate</w:t>
      </w:r>
      <w:r w:rsidRPr="008F2F85">
        <w:t xml:space="preserve"> them</w:t>
      </w:r>
      <w:r w:rsidRPr="00D95179">
        <w:t>.</w:t>
      </w:r>
      <w:r w:rsidRPr="008F2F85">
        <w:br/>
      </w:r>
      <w:r w:rsidRPr="008F2F85">
        <w:br/>
        <w:t>Suggest: Classify errors into taxonomy (hallucination, refusal, format error, drift). Measure P99 severity. Compute calibration metrics (ECE).</w:t>
      </w:r>
      <w:r w:rsidR="002A7BE6">
        <w:t xml:space="preserve"> </w:t>
      </w:r>
      <w:r w:rsidR="00904B10">
        <w:br/>
      </w:r>
      <w:r w:rsidR="00904B10">
        <w:br/>
      </w:r>
      <w:r w:rsidR="00904B10" w:rsidRPr="00904B10">
        <w:t>Include adversarial probes</w:t>
      </w:r>
      <w:r w:rsidR="00904B10">
        <w:t xml:space="preserve"> such as </w:t>
      </w:r>
      <w:r w:rsidR="00904B10" w:rsidRPr="00904B10">
        <w:t>prompt injection attempts, malformed inputs, and domain edge cases</w:t>
      </w:r>
      <w:r w:rsidR="00904B10">
        <w:t>. These can</w:t>
      </w:r>
      <w:r w:rsidR="00904B10" w:rsidRPr="00904B10">
        <w:t xml:space="preserve"> surface failure modes not captured by standard evaluation. Models with similar average performance often diverge dramatically under adversarial conditions.</w:t>
      </w:r>
      <w:r w:rsidR="00D953ED" w:rsidRPr="008F2F85">
        <w:br/>
      </w:r>
    </w:p>
    <w:p w14:paraId="21C91D36" w14:textId="4E33DA50" w:rsidR="00D95179" w:rsidRPr="008F2F85" w:rsidRDefault="00F2598A" w:rsidP="00AA4DDB">
      <w:pPr>
        <w:pStyle w:val="Heading2"/>
        <w:rPr>
          <w:rFonts w:ascii="Times New Roman" w:hAnsi="Times New Roman" w:cs="Times New Roman"/>
        </w:rPr>
      </w:pPr>
      <w:r w:rsidRPr="008F2F85">
        <w:rPr>
          <w:rFonts w:ascii="Times New Roman" w:hAnsi="Times New Roman" w:cs="Times New Roman"/>
        </w:rPr>
        <w:t>Proposed Decision Framework</w:t>
      </w:r>
    </w:p>
    <w:p w14:paraId="364B065B" w14:textId="773F9BFC" w:rsidR="00F2598A" w:rsidRPr="008F2F85" w:rsidRDefault="00F2598A" w:rsidP="00CC45C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4320"/>
        <w:gridCol w:w="2965"/>
      </w:tblGrid>
      <w:tr w:rsidR="00F2598A" w:rsidRPr="008F2F85" w14:paraId="0F472121" w14:textId="77777777" w:rsidTr="001E7690">
        <w:tc>
          <w:tcPr>
            <w:tcW w:w="2065" w:type="dxa"/>
          </w:tcPr>
          <w:p w14:paraId="36DF7CD1" w14:textId="4D15EA3B" w:rsidR="00F2598A" w:rsidRPr="008F2F85" w:rsidRDefault="00F2598A" w:rsidP="00AA4DDB">
            <w:pPr>
              <w:jc w:val="center"/>
              <w:rPr>
                <w:b/>
                <w:bCs/>
              </w:rPr>
            </w:pPr>
            <w:r w:rsidRPr="008F2F85">
              <w:rPr>
                <w:b/>
                <w:bCs/>
              </w:rPr>
              <w:t>Criterion</w:t>
            </w:r>
          </w:p>
        </w:tc>
        <w:tc>
          <w:tcPr>
            <w:tcW w:w="4320" w:type="dxa"/>
          </w:tcPr>
          <w:p w14:paraId="36C41CCB" w14:textId="2C7B7DEA" w:rsidR="00F2598A" w:rsidRPr="008F2F85" w:rsidRDefault="00AA4DDB" w:rsidP="00AA4DDB">
            <w:pPr>
              <w:jc w:val="center"/>
              <w:rPr>
                <w:b/>
                <w:bCs/>
              </w:rPr>
            </w:pPr>
            <w:r w:rsidRPr="008F2F85">
              <w:rPr>
                <w:b/>
                <w:bCs/>
              </w:rPr>
              <w:t>Threshold</w:t>
            </w:r>
          </w:p>
        </w:tc>
        <w:tc>
          <w:tcPr>
            <w:tcW w:w="2965" w:type="dxa"/>
          </w:tcPr>
          <w:p w14:paraId="1C915A6F" w14:textId="5CC7C840" w:rsidR="00F2598A" w:rsidRPr="008F2F85" w:rsidRDefault="00AA4DDB" w:rsidP="00AA4DDB">
            <w:pPr>
              <w:jc w:val="center"/>
              <w:rPr>
                <w:b/>
                <w:bCs/>
              </w:rPr>
            </w:pPr>
            <w:r w:rsidRPr="008F2F85">
              <w:rPr>
                <w:b/>
                <w:bCs/>
              </w:rPr>
              <w:t>Rationale</w:t>
            </w:r>
          </w:p>
        </w:tc>
      </w:tr>
      <w:tr w:rsidR="00F2598A" w:rsidRPr="008F2F85" w14:paraId="51879BE8" w14:textId="77777777" w:rsidTr="001E7690">
        <w:tc>
          <w:tcPr>
            <w:tcW w:w="2065" w:type="dxa"/>
          </w:tcPr>
          <w:p w14:paraId="77145DAD" w14:textId="0F6A75FD" w:rsidR="00F2598A" w:rsidRPr="008F2F85" w:rsidRDefault="00AA4DDB" w:rsidP="00CC45C5">
            <w:r w:rsidRPr="008F2F85">
              <w:t>P95 TTFT (at target load)</w:t>
            </w:r>
          </w:p>
        </w:tc>
        <w:tc>
          <w:tcPr>
            <w:tcW w:w="4320" w:type="dxa"/>
          </w:tcPr>
          <w:p w14:paraId="635AB36D" w14:textId="1FF05561" w:rsidR="00F2598A" w:rsidRPr="008F2F85" w:rsidRDefault="00AA4DDB" w:rsidP="00CC45C5">
            <w:r w:rsidRPr="008F2F85">
              <w:t>&lt; 500ms</w:t>
            </w:r>
          </w:p>
        </w:tc>
        <w:tc>
          <w:tcPr>
            <w:tcW w:w="2965" w:type="dxa"/>
          </w:tcPr>
          <w:p w14:paraId="29A246EC" w14:textId="15CCA7DB" w:rsidR="00F2598A" w:rsidRPr="008F2F85" w:rsidRDefault="00AA4DDB" w:rsidP="00CC45C5">
            <w:r w:rsidRPr="008F2F85">
              <w:t>UX hard constraint for chat</w:t>
            </w:r>
          </w:p>
        </w:tc>
      </w:tr>
      <w:tr w:rsidR="00F2598A" w:rsidRPr="008F2F85" w14:paraId="30841A1C" w14:textId="77777777" w:rsidTr="001E7690">
        <w:tc>
          <w:tcPr>
            <w:tcW w:w="2065" w:type="dxa"/>
          </w:tcPr>
          <w:p w14:paraId="5A74FAC2" w14:textId="3147F7D4" w:rsidR="00F2598A" w:rsidRPr="008F2F85" w:rsidRDefault="00AA4DDB" w:rsidP="00CC45C5">
            <w:r w:rsidRPr="008F2F85">
              <w:t>Task accuracy (held-out set)</w:t>
            </w:r>
          </w:p>
        </w:tc>
        <w:tc>
          <w:tcPr>
            <w:tcW w:w="4320" w:type="dxa"/>
          </w:tcPr>
          <w:p w14:paraId="54C4B865" w14:textId="14C244B7" w:rsidR="00F2598A" w:rsidRPr="008F2F85" w:rsidRDefault="00AA4DDB" w:rsidP="00CC45C5">
            <w:r w:rsidRPr="008F2F85">
              <w:t>≥ 70% baseline</w:t>
            </w:r>
          </w:p>
        </w:tc>
        <w:tc>
          <w:tcPr>
            <w:tcW w:w="2965" w:type="dxa"/>
          </w:tcPr>
          <w:p w14:paraId="19E2E551" w14:textId="1E8578AD" w:rsidR="00F2598A" w:rsidRPr="008F2F85" w:rsidRDefault="00AA4DDB" w:rsidP="00CC45C5">
            <w:r w:rsidRPr="008F2F85">
              <w:t>Below this, quality is unacceptable</w:t>
            </w:r>
          </w:p>
        </w:tc>
      </w:tr>
      <w:tr w:rsidR="00F2598A" w:rsidRPr="008F2F85" w14:paraId="3E592207" w14:textId="77777777" w:rsidTr="001E7690">
        <w:tc>
          <w:tcPr>
            <w:tcW w:w="2065" w:type="dxa"/>
          </w:tcPr>
          <w:p w14:paraId="56EA7B2A" w14:textId="499E4BAC" w:rsidR="00F2598A" w:rsidRPr="008F2F85" w:rsidRDefault="00AA4DDB" w:rsidP="00CC45C5">
            <w:r w:rsidRPr="008F2F85">
              <w:t>Catastrophic failure rate</w:t>
            </w:r>
          </w:p>
        </w:tc>
        <w:tc>
          <w:tcPr>
            <w:tcW w:w="4320" w:type="dxa"/>
          </w:tcPr>
          <w:p w14:paraId="7C83CFAC" w14:textId="076C6840" w:rsidR="00F2598A" w:rsidRPr="008F2F85" w:rsidRDefault="00AA4DDB" w:rsidP="00CC45C5">
            <w:r w:rsidRPr="008F2F85">
              <w:t>After categorization of failures, identify most specific and dangerous categories. Ensure that above all else th</w:t>
            </w:r>
            <w:r w:rsidR="00916D5D">
              <w:t>ose categories</w:t>
            </w:r>
            <w:r w:rsidRPr="008F2F85">
              <w:t xml:space="preserve"> specifically come in at &lt; 0.5%. </w:t>
            </w:r>
          </w:p>
        </w:tc>
        <w:tc>
          <w:tcPr>
            <w:tcW w:w="2965" w:type="dxa"/>
          </w:tcPr>
          <w:p w14:paraId="67C2FC62" w14:textId="3830B611" w:rsidR="00F2598A" w:rsidRPr="008F2F85" w:rsidRDefault="00AA4DDB" w:rsidP="00CC45C5">
            <w:r w:rsidRPr="008F2F85">
              <w:t>Confident hallucinations become harmful outputs at different rates in different categories.</w:t>
            </w:r>
          </w:p>
        </w:tc>
      </w:tr>
    </w:tbl>
    <w:p w14:paraId="5E5004F6" w14:textId="06C54726" w:rsidR="00F2598A" w:rsidRPr="008F2F85" w:rsidRDefault="00F2598A" w:rsidP="00CC45C5"/>
    <w:p w14:paraId="7175A648" w14:textId="77777777" w:rsidR="00AA4DDB" w:rsidRPr="008F2F85" w:rsidRDefault="00AA4DDB" w:rsidP="00192C92">
      <w:pPr>
        <w:pStyle w:val="Heading2"/>
        <w:rPr>
          <w:rFonts w:ascii="Times New Roman" w:hAnsi="Times New Roman" w:cs="Times New Roman"/>
        </w:rPr>
      </w:pPr>
      <w:r w:rsidRPr="008F2F85">
        <w:rPr>
          <w:rFonts w:ascii="Times New Roman" w:hAnsi="Times New Roman" w:cs="Times New Roman"/>
        </w:rPr>
        <w:t>Weighted Scoring Criteria</w:t>
      </w:r>
    </w:p>
    <w:p w14:paraId="59471F6C" w14:textId="45DC10D7" w:rsidR="00AA4DDB" w:rsidRPr="008F2F85" w:rsidRDefault="00AA4DDB" w:rsidP="00CC45C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1350"/>
        <w:gridCol w:w="5035"/>
      </w:tblGrid>
      <w:tr w:rsidR="00AA4DDB" w:rsidRPr="008F2F85" w14:paraId="095DDAB1" w14:textId="77777777" w:rsidTr="00192C92">
        <w:tc>
          <w:tcPr>
            <w:tcW w:w="2965" w:type="dxa"/>
          </w:tcPr>
          <w:p w14:paraId="655FD1FC" w14:textId="253D90F3" w:rsidR="00AA4DDB" w:rsidRPr="008F2F85" w:rsidRDefault="00AA4DDB" w:rsidP="00AA4DDB">
            <w:pPr>
              <w:jc w:val="center"/>
              <w:rPr>
                <w:b/>
                <w:bCs/>
              </w:rPr>
            </w:pPr>
            <w:r w:rsidRPr="00AA4DDB">
              <w:rPr>
                <w:b/>
                <w:bCs/>
              </w:rPr>
              <w:t>Factor</w:t>
            </w:r>
          </w:p>
        </w:tc>
        <w:tc>
          <w:tcPr>
            <w:tcW w:w="1350" w:type="dxa"/>
          </w:tcPr>
          <w:p w14:paraId="2807975A" w14:textId="53DD72D6" w:rsidR="00AA4DDB" w:rsidRPr="008F2F85" w:rsidRDefault="00AA4DDB" w:rsidP="00AA4DDB">
            <w:pPr>
              <w:jc w:val="center"/>
              <w:rPr>
                <w:b/>
                <w:bCs/>
              </w:rPr>
            </w:pPr>
            <w:r w:rsidRPr="00AA4DDB">
              <w:rPr>
                <w:b/>
                <w:bCs/>
              </w:rPr>
              <w:t>Weight</w:t>
            </w:r>
          </w:p>
        </w:tc>
        <w:tc>
          <w:tcPr>
            <w:tcW w:w="5035" w:type="dxa"/>
          </w:tcPr>
          <w:p w14:paraId="46461343" w14:textId="070290EF" w:rsidR="00AA4DDB" w:rsidRPr="008F2F85" w:rsidRDefault="00AA4DDB" w:rsidP="00AA4DDB">
            <w:pPr>
              <w:jc w:val="center"/>
              <w:rPr>
                <w:b/>
                <w:bCs/>
              </w:rPr>
            </w:pPr>
            <w:r w:rsidRPr="00AA4DDB">
              <w:rPr>
                <w:b/>
                <w:bCs/>
              </w:rPr>
              <w:t>Scoring Basis</w:t>
            </w:r>
          </w:p>
        </w:tc>
      </w:tr>
      <w:tr w:rsidR="00AA4DDB" w:rsidRPr="008F2F85" w14:paraId="2B74D6A3" w14:textId="77777777" w:rsidTr="00192C92">
        <w:tc>
          <w:tcPr>
            <w:tcW w:w="2965" w:type="dxa"/>
          </w:tcPr>
          <w:p w14:paraId="0E6E7D50" w14:textId="77777777" w:rsidR="00AA4DDB" w:rsidRPr="008F2F85" w:rsidRDefault="00AA4DDB" w:rsidP="00AA4DDB">
            <w:r w:rsidRPr="008F2F85">
              <w:t>Inference efficiency</w:t>
            </w:r>
          </w:p>
          <w:p w14:paraId="709B7A9C" w14:textId="03131738" w:rsidR="00AA4DDB" w:rsidRPr="008F2F85" w:rsidRDefault="00AA4DDB" w:rsidP="004C0B41"/>
        </w:tc>
        <w:tc>
          <w:tcPr>
            <w:tcW w:w="1350" w:type="dxa"/>
          </w:tcPr>
          <w:p w14:paraId="17BBA95C" w14:textId="39E4AEBB" w:rsidR="00AA4DDB" w:rsidRPr="008F2F85" w:rsidRDefault="00A24C34" w:rsidP="004C0B41">
            <w:r w:rsidRPr="008F2F85">
              <w:t>2</w:t>
            </w:r>
            <w:r w:rsidR="00AA4DDB" w:rsidRPr="008F2F85">
              <w:t>5%</w:t>
            </w:r>
          </w:p>
        </w:tc>
        <w:tc>
          <w:tcPr>
            <w:tcW w:w="5035" w:type="dxa"/>
          </w:tcPr>
          <w:p w14:paraId="70CD8DDD" w14:textId="77777777" w:rsidR="00192C92" w:rsidRPr="008F2F85" w:rsidRDefault="00192C92" w:rsidP="00192C92">
            <w:r w:rsidRPr="008F2F85">
              <w:t>P95 latency, throughput at load, memory footprint</w:t>
            </w:r>
          </w:p>
          <w:p w14:paraId="155CFD79" w14:textId="6D9E6675" w:rsidR="00AA4DDB" w:rsidRPr="008F2F85" w:rsidRDefault="00AA4DDB" w:rsidP="004C0B41"/>
        </w:tc>
      </w:tr>
      <w:tr w:rsidR="00AA4DDB" w:rsidRPr="008F2F85" w14:paraId="5D922C81" w14:textId="77777777" w:rsidTr="00192C92">
        <w:tc>
          <w:tcPr>
            <w:tcW w:w="2965" w:type="dxa"/>
          </w:tcPr>
          <w:p w14:paraId="0E4B98FA" w14:textId="77777777" w:rsidR="00192C92" w:rsidRPr="008F2F85" w:rsidRDefault="00192C92" w:rsidP="00192C92">
            <w:r w:rsidRPr="008F2F85">
              <w:t>Task-specific accuracy</w:t>
            </w:r>
          </w:p>
          <w:p w14:paraId="3C5AF039" w14:textId="0E167322" w:rsidR="00AA4DDB" w:rsidRPr="008F2F85" w:rsidRDefault="00AA4DDB" w:rsidP="004C0B41"/>
        </w:tc>
        <w:tc>
          <w:tcPr>
            <w:tcW w:w="1350" w:type="dxa"/>
          </w:tcPr>
          <w:p w14:paraId="07BE9FB7" w14:textId="3E54424B" w:rsidR="00AA4DDB" w:rsidRPr="008F2F85" w:rsidRDefault="00192C92" w:rsidP="004C0B41">
            <w:r w:rsidRPr="008F2F85">
              <w:t>30%</w:t>
            </w:r>
          </w:p>
        </w:tc>
        <w:tc>
          <w:tcPr>
            <w:tcW w:w="5035" w:type="dxa"/>
          </w:tcPr>
          <w:p w14:paraId="51FE1A1E" w14:textId="77777777" w:rsidR="00701E55" w:rsidRPr="00701E55" w:rsidRDefault="00701E55" w:rsidP="00701E55">
            <w:pPr>
              <w:rPr>
                <w:rFonts w:eastAsiaTheme="minorHAnsi"/>
              </w:rPr>
            </w:pPr>
            <w:r w:rsidRPr="00701E55">
              <w:rPr>
                <w:rFonts w:eastAsiaTheme="minorHAnsi"/>
              </w:rPr>
              <w:t>Held-out test performance, instruction-following, format compliance</w:t>
            </w:r>
          </w:p>
          <w:p w14:paraId="3701DD43" w14:textId="5F7CCE2A" w:rsidR="00AA4DDB" w:rsidRPr="008F2F85" w:rsidRDefault="00AA4DDB" w:rsidP="004C0B41"/>
        </w:tc>
      </w:tr>
      <w:tr w:rsidR="00AA4DDB" w:rsidRPr="008F2F85" w14:paraId="25F12102" w14:textId="77777777" w:rsidTr="00192C92">
        <w:tc>
          <w:tcPr>
            <w:tcW w:w="2965" w:type="dxa"/>
          </w:tcPr>
          <w:p w14:paraId="4BC2308C" w14:textId="7ECD155F" w:rsidR="00AA4DDB" w:rsidRPr="008F2F85" w:rsidRDefault="00192C92" w:rsidP="004C0B41">
            <w:r w:rsidRPr="008F2F85">
              <w:t>Failure mode profile</w:t>
            </w:r>
          </w:p>
        </w:tc>
        <w:tc>
          <w:tcPr>
            <w:tcW w:w="1350" w:type="dxa"/>
          </w:tcPr>
          <w:p w14:paraId="73CD42F9" w14:textId="04171F5D" w:rsidR="00AA4DDB" w:rsidRPr="008F2F85" w:rsidRDefault="00192C92" w:rsidP="004C0B41">
            <w:r w:rsidRPr="008F2F85">
              <w:t>25%</w:t>
            </w:r>
          </w:p>
        </w:tc>
        <w:tc>
          <w:tcPr>
            <w:tcW w:w="5035" w:type="dxa"/>
          </w:tcPr>
          <w:p w14:paraId="248F3BAD" w14:textId="6C92D0AF" w:rsidR="00AA4DDB" w:rsidRPr="008F2F85" w:rsidRDefault="00192C92" w:rsidP="004C0B41">
            <w:r w:rsidRPr="008F2F85">
              <w:t>Error taxonomy distribution, P99 severity, calibration</w:t>
            </w:r>
            <w:r w:rsidR="001431D9">
              <w:t xml:space="preserve">. </w:t>
            </w:r>
          </w:p>
        </w:tc>
      </w:tr>
      <w:tr w:rsidR="00192C92" w:rsidRPr="008F2F85" w14:paraId="28256CED" w14:textId="77777777" w:rsidTr="00192C92">
        <w:tc>
          <w:tcPr>
            <w:tcW w:w="2965" w:type="dxa"/>
          </w:tcPr>
          <w:p w14:paraId="360C500F" w14:textId="77777777" w:rsidR="00192C92" w:rsidRPr="008F2F85" w:rsidRDefault="00192C92" w:rsidP="00192C92">
            <w:r w:rsidRPr="008F2F85">
              <w:t>Agentic competence</w:t>
            </w:r>
          </w:p>
          <w:p w14:paraId="18F0D4F6" w14:textId="77777777" w:rsidR="00192C92" w:rsidRPr="008F2F85" w:rsidRDefault="00192C92" w:rsidP="004C0B41"/>
        </w:tc>
        <w:tc>
          <w:tcPr>
            <w:tcW w:w="1350" w:type="dxa"/>
          </w:tcPr>
          <w:p w14:paraId="5CC097B7" w14:textId="0A123FA0" w:rsidR="00192C92" w:rsidRPr="008F2F85" w:rsidRDefault="00A24C34" w:rsidP="00192C92">
            <w:r w:rsidRPr="008F2F85">
              <w:t>20</w:t>
            </w:r>
            <w:r w:rsidR="00192C92" w:rsidRPr="008F2F85">
              <w:t>%</w:t>
            </w:r>
          </w:p>
          <w:p w14:paraId="6A269A03" w14:textId="77777777" w:rsidR="00192C92" w:rsidRPr="008F2F85" w:rsidRDefault="00192C92" w:rsidP="004C0B41"/>
        </w:tc>
        <w:tc>
          <w:tcPr>
            <w:tcW w:w="5035" w:type="dxa"/>
          </w:tcPr>
          <w:p w14:paraId="65EF4B37" w14:textId="1D2ED9CA" w:rsidR="00192C92" w:rsidRPr="008F2F85" w:rsidRDefault="00192C92" w:rsidP="004C0B41">
            <w:r w:rsidRPr="008F2F85">
              <w:t>Tool-call accuracy, planning efficiency, error recovery</w:t>
            </w:r>
          </w:p>
        </w:tc>
      </w:tr>
    </w:tbl>
    <w:p w14:paraId="267EEB03" w14:textId="2A2008E1" w:rsidR="00AA4DDB" w:rsidRPr="008F2F85" w:rsidRDefault="00AA4DDB" w:rsidP="00CC45C5"/>
    <w:p w14:paraId="63C6D640" w14:textId="77777777" w:rsidR="005736AB" w:rsidRDefault="005736AB" w:rsidP="008F2F85">
      <w:pPr>
        <w:pStyle w:val="Heading2"/>
        <w:rPr>
          <w:rFonts w:ascii="Times New Roman" w:hAnsi="Times New Roman" w:cs="Times New Roman"/>
        </w:rPr>
      </w:pPr>
    </w:p>
    <w:p w14:paraId="18BC819E" w14:textId="77777777" w:rsidR="005736AB" w:rsidRDefault="005736AB" w:rsidP="008F2F85">
      <w:pPr>
        <w:pStyle w:val="Heading2"/>
        <w:rPr>
          <w:rFonts w:ascii="Times New Roman" w:hAnsi="Times New Roman" w:cs="Times New Roman"/>
        </w:rPr>
      </w:pPr>
    </w:p>
    <w:p w14:paraId="207084A4" w14:textId="5E164E08" w:rsidR="008F2F85" w:rsidRPr="002A7BE6" w:rsidRDefault="008F2F85" w:rsidP="008F2F85">
      <w:pPr>
        <w:pStyle w:val="Heading2"/>
        <w:rPr>
          <w:rFonts w:ascii="Times New Roman" w:hAnsi="Times New Roman" w:cs="Times New Roman"/>
        </w:rPr>
      </w:pPr>
      <w:r w:rsidRPr="002A7BE6">
        <w:rPr>
          <w:rFonts w:ascii="Times New Roman" w:hAnsi="Times New Roman" w:cs="Times New Roman"/>
        </w:rPr>
        <w:t>Tradeoffs and virtual ties</w:t>
      </w:r>
    </w:p>
    <w:p w14:paraId="16D00A30" w14:textId="462384AA" w:rsidR="008F2F85" w:rsidRDefault="008F2F85" w:rsidP="00CC45C5"/>
    <w:p w14:paraId="70A9D3E1" w14:textId="1541CF52" w:rsidR="008F2F85" w:rsidRPr="008F2F85" w:rsidRDefault="008F2F85" w:rsidP="008F2F85">
      <w:r w:rsidRPr="008F2F85">
        <w:t xml:space="preserve">When considering tradeoffs, it’s best to err on the side of low latency and accuracy. When choosing between those two, for now we are prioritizing low latency. </w:t>
      </w:r>
    </w:p>
    <w:p w14:paraId="3E324817" w14:textId="77777777" w:rsidR="008F2F85" w:rsidRPr="008F2F85" w:rsidRDefault="008F2F85" w:rsidP="008F2F85"/>
    <w:p w14:paraId="7B4EF506" w14:textId="18A95F37" w:rsidR="008F2F85" w:rsidRPr="008F2F85" w:rsidRDefault="008F2F85" w:rsidP="008F2F85">
      <w:r w:rsidRPr="008F2F85">
        <w:t xml:space="preserve">If candidates score within 0.3 points, then apply workload-specific preferences. </w:t>
      </w:r>
    </w:p>
    <w:p w14:paraId="34B692A7" w14:textId="77777777" w:rsidR="008F2F85" w:rsidRPr="008F2F85" w:rsidRDefault="008F2F85" w:rsidP="008F2F85"/>
    <w:p w14:paraId="1C05DE97" w14:textId="77777777" w:rsidR="008F2F85" w:rsidRPr="008F2F85" w:rsidRDefault="008F2F85" w:rsidP="008F2F8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8F2F85">
        <w:rPr>
          <w:rFonts w:ascii="Times New Roman" w:hAnsi="Times New Roman" w:cs="Times New Roman"/>
        </w:rPr>
        <w:t xml:space="preserve">Chat-heavy deployments should favor latency. </w:t>
      </w:r>
    </w:p>
    <w:p w14:paraId="2F4F84E0" w14:textId="77777777" w:rsidR="008F2F85" w:rsidRPr="008F2F85" w:rsidRDefault="008F2F85" w:rsidP="008F2F8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8F2F85">
        <w:rPr>
          <w:rFonts w:ascii="Times New Roman" w:hAnsi="Times New Roman" w:cs="Times New Roman"/>
        </w:rPr>
        <w:t xml:space="preserve">High-stakes domains should favor failure mode profile. </w:t>
      </w:r>
    </w:p>
    <w:p w14:paraId="2A045CD2" w14:textId="28390A5E" w:rsidR="008F2F85" w:rsidRPr="008F2F85" w:rsidRDefault="008F2F85" w:rsidP="008F2F8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8F2F85">
        <w:rPr>
          <w:rFonts w:ascii="Times New Roman" w:hAnsi="Times New Roman" w:cs="Times New Roman"/>
        </w:rPr>
        <w:t>Cost-constrained environments should favor smaller models meeting thresholds.</w:t>
      </w:r>
    </w:p>
    <w:p w14:paraId="5BA5548F" w14:textId="77777777" w:rsidR="008F2F85" w:rsidRPr="008F2F85" w:rsidRDefault="008F2F85" w:rsidP="00CC45C5"/>
    <w:p w14:paraId="3A446BD0" w14:textId="062DC24B" w:rsidR="00234D33" w:rsidRDefault="00234D33" w:rsidP="00234D33">
      <w:pPr>
        <w:pStyle w:val="Heading1"/>
        <w:rPr>
          <w:rFonts w:ascii="Times New Roman" w:hAnsi="Times New Roman" w:cs="Times New Roman"/>
        </w:rPr>
      </w:pPr>
      <w:r w:rsidRPr="008F2F85">
        <w:rPr>
          <w:rFonts w:ascii="Times New Roman" w:hAnsi="Times New Roman" w:cs="Times New Roman"/>
        </w:rPr>
        <w:t>Holistic test plan example</w:t>
      </w:r>
    </w:p>
    <w:p w14:paraId="24837896" w14:textId="77777777" w:rsidR="005736AB" w:rsidRPr="005736AB" w:rsidRDefault="005736AB" w:rsidP="005736AB">
      <w:pPr>
        <w:jc w:val="center"/>
      </w:pPr>
    </w:p>
    <w:p w14:paraId="0B3683F1" w14:textId="3CE8784B" w:rsidR="00CC45C5" w:rsidRPr="008F2F85" w:rsidRDefault="00453795" w:rsidP="005736AB">
      <w:pPr>
        <w:jc w:val="center"/>
      </w:pPr>
      <w:r w:rsidRPr="008F2F85">
        <w:rPr>
          <w:noProof/>
        </w:rPr>
        <w:drawing>
          <wp:inline distT="0" distB="0" distL="0" distR="0" wp14:anchorId="3D5BA44C" wp14:editId="67676F82">
            <wp:extent cx="3926296" cy="4464996"/>
            <wp:effectExtent l="0" t="0" r="0" b="5715"/>
            <wp:docPr id="1" name="Picture 1" descr="A diagram of a proce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diagram of a process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7954" cy="4478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45C5" w:rsidRPr="008F2F85" w:rsidSect="005639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99411"/>
    <w:multiLevelType w:val="multilevel"/>
    <w:tmpl w:val="52A64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10E839D5"/>
    <w:multiLevelType w:val="hybridMultilevel"/>
    <w:tmpl w:val="C686A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6777F"/>
    <w:multiLevelType w:val="hybridMultilevel"/>
    <w:tmpl w:val="20CC9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0767B"/>
    <w:multiLevelType w:val="hybridMultilevel"/>
    <w:tmpl w:val="2A289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A66BD"/>
    <w:multiLevelType w:val="hybridMultilevel"/>
    <w:tmpl w:val="45E49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7260E"/>
    <w:multiLevelType w:val="hybridMultilevel"/>
    <w:tmpl w:val="35F8E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56CA8"/>
    <w:multiLevelType w:val="hybridMultilevel"/>
    <w:tmpl w:val="58842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D486C"/>
    <w:multiLevelType w:val="hybridMultilevel"/>
    <w:tmpl w:val="3BF0E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CD3E31"/>
    <w:multiLevelType w:val="hybridMultilevel"/>
    <w:tmpl w:val="1EFC2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6B0531"/>
    <w:multiLevelType w:val="hybridMultilevel"/>
    <w:tmpl w:val="9B7A0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9"/>
  </w:num>
  <w:num w:numId="7">
    <w:abstractNumId w:val="8"/>
  </w:num>
  <w:num w:numId="8">
    <w:abstractNumId w:val="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5C5"/>
    <w:rsid w:val="00014CDC"/>
    <w:rsid w:val="00041143"/>
    <w:rsid w:val="001431D9"/>
    <w:rsid w:val="00183E04"/>
    <w:rsid w:val="00192C92"/>
    <w:rsid w:val="001E7690"/>
    <w:rsid w:val="0020309F"/>
    <w:rsid w:val="002112AE"/>
    <w:rsid w:val="00226457"/>
    <w:rsid w:val="00234D33"/>
    <w:rsid w:val="002740A6"/>
    <w:rsid w:val="002A7BE6"/>
    <w:rsid w:val="002E0E0A"/>
    <w:rsid w:val="002F7580"/>
    <w:rsid w:val="00383F4D"/>
    <w:rsid w:val="00453795"/>
    <w:rsid w:val="00495354"/>
    <w:rsid w:val="004D3308"/>
    <w:rsid w:val="00502465"/>
    <w:rsid w:val="0055585E"/>
    <w:rsid w:val="0056399D"/>
    <w:rsid w:val="005736AB"/>
    <w:rsid w:val="00596048"/>
    <w:rsid w:val="005B24FF"/>
    <w:rsid w:val="005E1CB8"/>
    <w:rsid w:val="00603BE3"/>
    <w:rsid w:val="0060484B"/>
    <w:rsid w:val="006A238D"/>
    <w:rsid w:val="00701E55"/>
    <w:rsid w:val="00781F73"/>
    <w:rsid w:val="00894B36"/>
    <w:rsid w:val="008A6B71"/>
    <w:rsid w:val="008F2F85"/>
    <w:rsid w:val="00904B10"/>
    <w:rsid w:val="00916D5D"/>
    <w:rsid w:val="009313E9"/>
    <w:rsid w:val="00A10C8B"/>
    <w:rsid w:val="00A24C34"/>
    <w:rsid w:val="00A33B4B"/>
    <w:rsid w:val="00AA4DDB"/>
    <w:rsid w:val="00AA5854"/>
    <w:rsid w:val="00B61C04"/>
    <w:rsid w:val="00BA2F9A"/>
    <w:rsid w:val="00BF256A"/>
    <w:rsid w:val="00C82542"/>
    <w:rsid w:val="00CC45C5"/>
    <w:rsid w:val="00D95179"/>
    <w:rsid w:val="00D953ED"/>
    <w:rsid w:val="00E1183D"/>
    <w:rsid w:val="00E3796D"/>
    <w:rsid w:val="00EF4F18"/>
    <w:rsid w:val="00F2598A"/>
    <w:rsid w:val="00F6004C"/>
    <w:rsid w:val="00F855FE"/>
    <w:rsid w:val="00F901D1"/>
    <w:rsid w:val="00FB6DF8"/>
    <w:rsid w:val="00FD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2C451"/>
  <w15:chartTrackingRefBased/>
  <w15:docId w15:val="{E2DC432E-6021-0044-8B72-8CD1F618E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E55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37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4D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5C5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CommentReference">
    <w:name w:val="annotation reference"/>
    <w:basedOn w:val="DefaultParagraphFont"/>
    <w:uiPriority w:val="99"/>
    <w:semiHidden/>
    <w:unhideWhenUsed/>
    <w:rsid w:val="005558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585E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58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58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585E"/>
    <w:rPr>
      <w:b/>
      <w:bCs/>
      <w:sz w:val="20"/>
      <w:szCs w:val="20"/>
    </w:rPr>
  </w:style>
  <w:style w:type="paragraph" w:customStyle="1" w:styleId="FirstParagraph">
    <w:name w:val="First Paragraph"/>
    <w:basedOn w:val="BodyText"/>
    <w:next w:val="BodyText"/>
    <w:qFormat/>
    <w:rsid w:val="00502465"/>
    <w:pPr>
      <w:spacing w:before="180" w:after="180"/>
    </w:pPr>
    <w:rPr>
      <w:rFonts w:eastAsiaTheme="minorEastAsia"/>
      <w:lang w:eastAsia="zh-CN"/>
    </w:rPr>
  </w:style>
  <w:style w:type="paragraph" w:styleId="BodyText">
    <w:name w:val="Body Text"/>
    <w:basedOn w:val="Normal"/>
    <w:link w:val="BodyTextChar"/>
    <w:uiPriority w:val="99"/>
    <w:semiHidden/>
    <w:unhideWhenUsed/>
    <w:rsid w:val="00502465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02465"/>
  </w:style>
  <w:style w:type="paragraph" w:styleId="Title">
    <w:name w:val="Title"/>
    <w:basedOn w:val="Normal"/>
    <w:next w:val="Normal"/>
    <w:link w:val="TitleChar"/>
    <w:uiPriority w:val="10"/>
    <w:qFormat/>
    <w:rsid w:val="0045379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37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537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4537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379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259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AA4D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arxiv.org/html/2405.00332v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Beach</dc:creator>
  <cp:keywords/>
  <dc:description/>
  <cp:lastModifiedBy>James Beach</cp:lastModifiedBy>
  <cp:revision>6</cp:revision>
  <dcterms:created xsi:type="dcterms:W3CDTF">2026-01-22T01:22:00Z</dcterms:created>
  <dcterms:modified xsi:type="dcterms:W3CDTF">2026-01-22T17:56:00Z</dcterms:modified>
</cp:coreProperties>
</file>